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10, 2024:</w:t>
        <w:tab/>
      </w:r>
    </w:p>
    <w:p w:rsidR="00000000" w:rsidDel="00000000" w:rsidP="00000000" w:rsidRDefault="00000000" w:rsidRPr="00000000" w14:paraId="00000002">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Dear Parents and Community Members:</w:t>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pleased to present you with the Annual Education Report (AER) which provides key information on the 2022-23 educational progress for the Lapeer Community School District and our schools. The AER addresses the complex reporting information required by federal and some requirements of state laws. Our staff is available to help you understand this information. Please contact Michelle Bradford (</w:t>
      </w:r>
      <w:hyperlink r:id="rId6">
        <w:r w:rsidDel="00000000" w:rsidR="00000000" w:rsidRPr="00000000">
          <w:rPr>
            <w:rFonts w:ascii="Verdana" w:cs="Verdana" w:eastAsia="Verdana" w:hAnsi="Verdana"/>
            <w:color w:val="0000ff"/>
            <w:sz w:val="22"/>
            <w:szCs w:val="22"/>
            <w:u w:val="single"/>
            <w:rtl w:val="0"/>
          </w:rPr>
          <w:t xml:space="preserve">michelle.bradford@lapeerschools.org</w:t>
        </w:r>
      </w:hyperlink>
      <w:r w:rsidDel="00000000" w:rsidR="00000000" w:rsidRPr="00000000">
        <w:rPr>
          <w:rFonts w:ascii="Verdana" w:cs="Verdana" w:eastAsia="Verdana" w:hAnsi="Verdana"/>
          <w:sz w:val="22"/>
          <w:szCs w:val="22"/>
          <w:rtl w:val="0"/>
        </w:rPr>
        <w:t xml:space="preserve">), for help if you need assistance.</w:t>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DISTRICT AER is available for you to review electronically by visiting the following </w:t>
      </w:r>
      <w:hyperlink r:id="rId7">
        <w:r w:rsidDel="00000000" w:rsidR="00000000" w:rsidRPr="00000000">
          <w:rPr>
            <w:rFonts w:ascii="Verdana" w:cs="Verdana" w:eastAsia="Verdana" w:hAnsi="Verdana"/>
            <w:color w:val="1155cc"/>
            <w:sz w:val="22"/>
            <w:szCs w:val="22"/>
            <w:u w:val="single"/>
            <w:rtl w:val="0"/>
          </w:rPr>
          <w:t xml:space="preserve">AER link</w:t>
        </w:r>
      </w:hyperlink>
      <w:r w:rsidDel="00000000" w:rsidR="00000000" w:rsidRPr="00000000">
        <w:rPr>
          <w:rFonts w:ascii="Verdana" w:cs="Verdana" w:eastAsia="Verdana" w:hAnsi="Verdana"/>
          <w:sz w:val="22"/>
          <w:szCs w:val="22"/>
          <w:rtl w:val="0"/>
        </w:rPr>
        <w:t xml:space="preserve"> or you may review a copy in the main office at your child’s school. Each school will also be communicating their own AER to parents directly.</w:t>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Verdana" w:cs="Verdana" w:eastAsia="Verdana" w:hAnsi="Verdana"/>
          <w:sz w:val="22"/>
          <w:szCs w:val="22"/>
          <w:rtl w:val="0"/>
        </w:rPr>
        <w:t xml:space="preserve">These reports contain the following information:</w:t>
      </w:r>
      <w:r w:rsidDel="00000000" w:rsidR="00000000" w:rsidRPr="00000000">
        <w:rPr>
          <w:rtl w:val="0"/>
        </w:rPr>
      </w:r>
    </w:p>
    <w:p w:rsidR="00000000" w:rsidDel="00000000" w:rsidP="00000000" w:rsidRDefault="00000000" w:rsidRPr="00000000" w14:paraId="0000000B">
      <w:pPr>
        <w:spacing w:after="240" w:befor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 Assessment Data</w:t>
      </w:r>
    </w:p>
    <w:p w:rsidR="00000000" w:rsidDel="00000000" w:rsidP="00000000" w:rsidRDefault="00000000" w:rsidRPr="00000000" w14:paraId="0000000C">
      <w:pPr>
        <w:numPr>
          <w:ilvl w:val="0"/>
          <w:numId w:val="4"/>
        </w:numPr>
        <w:spacing w:after="0" w:afterAutospacing="0" w:before="24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Includes the following three assessments: M-STEP (Michigan Student Test of Educational Progress), MI-Access (Alternate Assessment), and College Board SAT</w:t>
      </w:r>
    </w:p>
    <w:p w:rsidR="00000000" w:rsidDel="00000000" w:rsidP="00000000" w:rsidRDefault="00000000" w:rsidRPr="00000000" w14:paraId="0000000D">
      <w:pPr>
        <w:numPr>
          <w:ilvl w:val="0"/>
          <w:numId w:val="4"/>
        </w:numPr>
        <w:spacing w:after="240" w:before="0" w:beforeAutospacing="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Presents assessment information for English language arts and mathematics for grades 3 to 8 and 11, and MI-Access science for grades 4, 7, and 11, compared to state averages for all students as well as subgroups of students.</w:t>
      </w:r>
    </w:p>
    <w:p w:rsidR="00000000" w:rsidDel="00000000" w:rsidP="00000000" w:rsidRDefault="00000000" w:rsidRPr="00000000" w14:paraId="0000000E">
      <w:pPr>
        <w:spacing w:after="240" w:befor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School Accountability Data</w:t>
      </w:r>
    </w:p>
    <w:p w:rsidR="00000000" w:rsidDel="00000000" w:rsidP="00000000" w:rsidRDefault="00000000" w:rsidRPr="00000000" w14:paraId="0000000F">
      <w:pPr>
        <w:numPr>
          <w:ilvl w:val="0"/>
          <w:numId w:val="6"/>
        </w:numPr>
        <w:spacing w:after="0" w:afterAutospacing="0" w:before="24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Includes information on schools’ performance on various measures such as student proficiency and growth on state assessments, graduation, and attendance rates. Performance is measured on 0-100 index scales</w:t>
      </w:r>
    </w:p>
    <w:p w:rsidR="00000000" w:rsidDel="00000000" w:rsidP="00000000" w:rsidRDefault="00000000" w:rsidRPr="00000000" w14:paraId="00000010">
      <w:pPr>
        <w:numPr>
          <w:ilvl w:val="0"/>
          <w:numId w:val="6"/>
        </w:numPr>
        <w:spacing w:after="240" w:before="0" w:beforeAutospacing="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Reports schools identified under three federally required categories for further support: Comprehensive Support and Improvement, Targeted Support and Improvement, and Additional Targeted Support </w:t>
      </w:r>
    </w:p>
    <w:p w:rsidR="00000000" w:rsidDel="00000000" w:rsidP="00000000" w:rsidRDefault="00000000" w:rsidRPr="00000000" w14:paraId="00000011">
      <w:pPr>
        <w:spacing w:line="276"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Educator Qualification Data</w:t>
      </w:r>
    </w:p>
    <w:p w:rsidR="00000000" w:rsidDel="00000000" w:rsidP="00000000" w:rsidRDefault="00000000" w:rsidRPr="00000000" w14:paraId="00000012">
      <w:pPr>
        <w:numPr>
          <w:ilvl w:val="0"/>
          <w:numId w:val="2"/>
        </w:numPr>
        <w:spacing w:after="0" w:afterAutospacing="0" w:before="240" w:line="276"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Identifies the number and percentage of inexperienced teachers, principals, and other school leaders</w:t>
      </w:r>
    </w:p>
    <w:p w:rsidR="00000000" w:rsidDel="00000000" w:rsidP="00000000" w:rsidRDefault="00000000" w:rsidRPr="00000000" w14:paraId="00000013">
      <w:pPr>
        <w:numPr>
          <w:ilvl w:val="0"/>
          <w:numId w:val="2"/>
        </w:numPr>
        <w:spacing w:after="0" w:afterAutospacing="0" w:before="0" w:beforeAutospacing="0" w:line="276"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Reports teachers who are teaching with emergency or provisional credentials</w:t>
      </w:r>
    </w:p>
    <w:p w:rsidR="00000000" w:rsidDel="00000000" w:rsidP="00000000" w:rsidRDefault="00000000" w:rsidRPr="00000000" w14:paraId="00000014">
      <w:pPr>
        <w:numPr>
          <w:ilvl w:val="0"/>
          <w:numId w:val="2"/>
        </w:numPr>
        <w:spacing w:before="0" w:beforeAutospacing="0" w:line="276"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Includes teachers who are not teaching in the subject or field for which they are certified</w:t>
      </w:r>
    </w:p>
    <w:p w:rsidR="00000000" w:rsidDel="00000000" w:rsidP="00000000" w:rsidRDefault="00000000" w:rsidRPr="00000000" w14:paraId="00000015">
      <w:pPr>
        <w:spacing w:after="240" w:befor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NAEP Data (National Assessment of Educational Progress)</w:t>
      </w:r>
    </w:p>
    <w:p w:rsidR="00000000" w:rsidDel="00000000" w:rsidP="00000000" w:rsidRDefault="00000000" w:rsidRPr="00000000" w14:paraId="00000016">
      <w:pPr>
        <w:numPr>
          <w:ilvl w:val="0"/>
          <w:numId w:val="1"/>
        </w:numPr>
        <w:spacing w:after="240" w:before="24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Provides state results of the national assessment in mathematics and reading every other year in grades 4 and 8</w:t>
      </w:r>
    </w:p>
    <w:p w:rsidR="00000000" w:rsidDel="00000000" w:rsidP="00000000" w:rsidRDefault="00000000" w:rsidRPr="00000000" w14:paraId="00000017">
      <w:pPr>
        <w:spacing w:after="240" w:befor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Civil Rights Data</w:t>
      </w:r>
    </w:p>
    <w:p w:rsidR="00000000" w:rsidDel="00000000" w:rsidP="00000000" w:rsidRDefault="00000000" w:rsidRPr="00000000" w14:paraId="00000018">
      <w:pPr>
        <w:numPr>
          <w:ilvl w:val="0"/>
          <w:numId w:val="5"/>
        </w:numPr>
        <w:spacing w:after="240" w:before="240" w:lineRule="auto"/>
        <w:ind w:left="720" w:hanging="360"/>
        <w:rPr>
          <w:rFonts w:ascii="Verdana" w:cs="Verdana" w:eastAsia="Verdana" w:hAnsi="Verdana"/>
          <w:sz w:val="22"/>
          <w:szCs w:val="22"/>
          <w:u w:val="none"/>
        </w:rPr>
      </w:pPr>
      <w:r w:rsidDel="00000000" w:rsidR="00000000" w:rsidRPr="00000000">
        <w:rPr>
          <w:rFonts w:ascii="Verdana" w:cs="Verdana" w:eastAsia="Verdana" w:hAnsi="Verdana"/>
          <w:sz w:val="22"/>
          <w:szCs w:val="22"/>
          <w:rtl w:val="0"/>
        </w:rPr>
        <w:t xml:space="preserve">Provides information on school quality, climate, and safety</w:t>
      </w:r>
    </w:p>
    <w:p w:rsidR="00000000" w:rsidDel="00000000" w:rsidP="00000000" w:rsidRDefault="00000000" w:rsidRPr="00000000" w14:paraId="00000019">
      <w:pPr>
        <w:spacing w:after="240" w:befor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Review the table below listing our schools. For the 2022-23 school year, schools were identified based on previous years’ performance using definitions and labels as required in the Every Student Succeeds Act (ESSA). A Targeted Support and Improvement (TSI) school is one that had at least one underperforming student subgroup in 2022-23. An Additional Targeted Support (ATS) school is one that had a student subgroup performing at the same level as the lowest 5% of all schools in the state in 2022-23. A Comprehensive Support and Improvement (CSI) school is one whose performance was in the lowest 5% of all schools in the state or had a graduation rate at or below 67% in 2022-23. Some schools are not identified with any of these labels. In these cases, no status label is given.</w:t>
      </w:r>
      <w:r w:rsidDel="00000000" w:rsidR="00000000" w:rsidRPr="00000000">
        <w:rPr>
          <w:rtl w:val="0"/>
        </w:rPr>
      </w:r>
    </w:p>
    <w:p w:rsidR="00000000" w:rsidDel="00000000" w:rsidP="00000000" w:rsidRDefault="00000000" w:rsidRPr="00000000" w14:paraId="0000001A">
      <w:pPr>
        <w:tabs>
          <w:tab w:val="left" w:leader="none" w:pos="720"/>
        </w:tabs>
        <w:rPr>
          <w:rFonts w:ascii="Verdana" w:cs="Verdana" w:eastAsia="Verdana" w:hAnsi="Verdana"/>
          <w:sz w:val="22"/>
          <w:szCs w:val="22"/>
        </w:rPr>
      </w:pPr>
      <w:r w:rsidDel="00000000" w:rsidR="00000000" w:rsidRPr="00000000">
        <w:rPr>
          <w:rtl w:val="0"/>
        </w:rPr>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5"/>
        <w:gridCol w:w="1620"/>
        <w:gridCol w:w="4855"/>
        <w:tblGridChange w:id="0">
          <w:tblGrid>
            <w:gridCol w:w="2875"/>
            <w:gridCol w:w="1620"/>
            <w:gridCol w:w="4855"/>
          </w:tblGrid>
        </w:tblGridChange>
      </w:tblGrid>
      <w:tr>
        <w:trPr>
          <w:cantSplit w:val="0"/>
          <w:trHeight w:val="683" w:hRule="atLeast"/>
          <w:tblHeader w:val="0"/>
        </w:trPr>
        <w:tc>
          <w:tcPr>
            <w:shd w:fill="f2f2f2" w:val="clear"/>
          </w:tcPr>
          <w:p w:rsidR="00000000" w:rsidDel="00000000" w:rsidP="00000000" w:rsidRDefault="00000000" w:rsidRPr="00000000" w14:paraId="0000001B">
            <w:pPr>
              <w:tabs>
                <w:tab w:val="left" w:leader="none" w:pos="720"/>
              </w:tabs>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School Name</w:t>
            </w:r>
          </w:p>
          <w:p w:rsidR="00000000" w:rsidDel="00000000" w:rsidP="00000000" w:rsidRDefault="00000000" w:rsidRPr="00000000" w14:paraId="0000001C">
            <w:pPr>
              <w:tabs>
                <w:tab w:val="left" w:leader="none" w:pos="720"/>
              </w:tabs>
              <w:rPr>
                <w:rFonts w:ascii="Verdana" w:cs="Verdana" w:eastAsia="Verdana" w:hAnsi="Verdana"/>
                <w:b w:val="1"/>
                <w:sz w:val="16"/>
                <w:szCs w:val="16"/>
              </w:rPr>
            </w:pPr>
            <w:r w:rsidDel="00000000" w:rsidR="00000000" w:rsidRPr="00000000">
              <w:rPr>
                <w:rtl w:val="0"/>
              </w:rPr>
            </w:r>
          </w:p>
          <w:p w:rsidR="00000000" w:rsidDel="00000000" w:rsidP="00000000" w:rsidRDefault="00000000" w:rsidRPr="00000000" w14:paraId="0000001D">
            <w:pPr>
              <w:tabs>
                <w:tab w:val="left" w:leader="none" w:pos="720"/>
              </w:tabs>
              <w:rPr>
                <w:rFonts w:ascii="Verdana" w:cs="Verdana" w:eastAsia="Verdana" w:hAnsi="Verdana"/>
                <w:b w:val="1"/>
                <w:sz w:val="16"/>
                <w:szCs w:val="16"/>
              </w:rPr>
            </w:pPr>
            <w:r w:rsidDel="00000000" w:rsidR="00000000" w:rsidRPr="00000000">
              <w:rPr>
                <w:rtl w:val="0"/>
              </w:rPr>
            </w:r>
          </w:p>
        </w:tc>
        <w:tc>
          <w:tcPr>
            <w:shd w:fill="f2f2f2" w:val="clear"/>
          </w:tcPr>
          <w:p w:rsidR="00000000" w:rsidDel="00000000" w:rsidP="00000000" w:rsidRDefault="00000000" w:rsidRPr="00000000" w14:paraId="0000001E">
            <w:pPr>
              <w:tabs>
                <w:tab w:val="left" w:leader="none" w:pos="720"/>
              </w:tabs>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Status Label</w:t>
            </w:r>
          </w:p>
          <w:p w:rsidR="00000000" w:rsidDel="00000000" w:rsidP="00000000" w:rsidRDefault="00000000" w:rsidRPr="00000000" w14:paraId="0000001F">
            <w:pPr>
              <w:tabs>
                <w:tab w:val="left" w:leader="none" w:pos="720"/>
              </w:tabs>
              <w:rPr>
                <w:rFonts w:ascii="Verdana" w:cs="Verdana" w:eastAsia="Verdana" w:hAnsi="Verdana"/>
                <w:b w:val="1"/>
                <w:sz w:val="16"/>
                <w:szCs w:val="16"/>
              </w:rPr>
            </w:pPr>
            <w:r w:rsidDel="00000000" w:rsidR="00000000" w:rsidRPr="00000000">
              <w:rPr>
                <w:rtl w:val="0"/>
              </w:rPr>
            </w:r>
          </w:p>
        </w:tc>
        <w:tc>
          <w:tcPr>
            <w:shd w:fill="f2f2f2" w:val="clear"/>
          </w:tcPr>
          <w:p w:rsidR="00000000" w:rsidDel="00000000" w:rsidP="00000000" w:rsidRDefault="00000000" w:rsidRPr="00000000" w14:paraId="00000020">
            <w:pPr>
              <w:tabs>
                <w:tab w:val="left" w:leader="none" w:pos="720"/>
              </w:tabs>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Key Initiative to Accelerate Achievement</w:t>
            </w:r>
          </w:p>
          <w:p w:rsidR="00000000" w:rsidDel="00000000" w:rsidP="00000000" w:rsidRDefault="00000000" w:rsidRPr="00000000" w14:paraId="00000021">
            <w:pPr>
              <w:tabs>
                <w:tab w:val="left" w:leader="none" w:pos="720"/>
              </w:tabs>
              <w:rPr>
                <w:rFonts w:ascii="Verdana" w:cs="Verdana" w:eastAsia="Verdana" w:hAnsi="Verdana"/>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Elva Lynch Elementary</w:t>
            </w:r>
          </w:p>
          <w:p w:rsidR="00000000" w:rsidDel="00000000" w:rsidP="00000000" w:rsidRDefault="00000000" w:rsidRPr="00000000" w14:paraId="00000023">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Emma Murphy Elementary</w:t>
            </w:r>
          </w:p>
          <w:p w:rsidR="00000000" w:rsidDel="00000000" w:rsidP="00000000" w:rsidRDefault="00000000" w:rsidRPr="00000000" w14:paraId="0000002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C.K. Schickler Elementary</w:t>
            </w:r>
          </w:p>
          <w:p w:rsidR="00000000" w:rsidDel="00000000" w:rsidP="00000000" w:rsidRDefault="00000000" w:rsidRPr="00000000" w14:paraId="0000002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Turrill Elementary</w:t>
            </w:r>
          </w:p>
          <w:p w:rsidR="00000000" w:rsidDel="00000000" w:rsidP="00000000" w:rsidRDefault="00000000" w:rsidRPr="00000000" w14:paraId="00000026">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2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 Label</w:t>
            </w:r>
          </w:p>
        </w:tc>
        <w:tc>
          <w:tcPr/>
          <w:p w:rsidR="00000000" w:rsidDel="00000000" w:rsidP="00000000" w:rsidRDefault="00000000" w:rsidRPr="00000000" w14:paraId="00000028">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Implement high quality instruction that is evidenced based and learning centered in every classroom.</w:t>
            </w:r>
          </w:p>
          <w:p w:rsidR="00000000" w:rsidDel="00000000" w:rsidP="00000000" w:rsidRDefault="00000000" w:rsidRPr="00000000" w14:paraId="00000029">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A">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Turrill is a Year Round Elementary School that operates on a balanced calendar for students in grades E5-5</w:t>
            </w:r>
            <w:r w:rsidDel="00000000" w:rsidR="00000000" w:rsidRPr="00000000">
              <w:rPr>
                <w:rFonts w:ascii="Verdana" w:cs="Verdana" w:eastAsia="Verdana" w:hAnsi="Verdana"/>
                <w:sz w:val="16"/>
                <w:szCs w:val="16"/>
                <w:vertAlign w:val="superscript"/>
                <w:rtl w:val="0"/>
              </w:rPr>
              <w:t xml:space="preserve">th</w:t>
            </w:r>
            <w:r w:rsidDel="00000000" w:rsidR="00000000" w:rsidRPr="00000000">
              <w:rPr>
                <w:rFonts w:ascii="Verdana" w:cs="Verdana" w:eastAsia="Verdana" w:hAnsi="Verdana"/>
                <w:sz w:val="16"/>
                <w:szCs w:val="16"/>
                <w:rtl w:val="0"/>
              </w:rPr>
              <w:t xml:space="preserve"> grade.  All other elementary buildings operate on the traditional calendar. </w:t>
            </w:r>
          </w:p>
        </w:tc>
      </w:tr>
      <w:tr>
        <w:trPr>
          <w:cantSplit w:val="0"/>
          <w:tblHeader w:val="0"/>
        </w:trPr>
        <w:tc>
          <w:tcPr/>
          <w:p w:rsidR="00000000" w:rsidDel="00000000" w:rsidP="00000000" w:rsidRDefault="00000000" w:rsidRPr="00000000" w14:paraId="0000002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Rolland-Warner Campus 6/7</w:t>
            </w:r>
          </w:p>
          <w:p w:rsidR="00000000" w:rsidDel="00000000" w:rsidP="00000000" w:rsidRDefault="00000000" w:rsidRPr="00000000" w14:paraId="0000002C">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Zemmer Campus 8/9 </w:t>
            </w:r>
          </w:p>
          <w:p w:rsidR="00000000" w:rsidDel="00000000" w:rsidP="00000000" w:rsidRDefault="00000000" w:rsidRPr="00000000" w14:paraId="0000002D">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Lapeer High School</w:t>
            </w:r>
          </w:p>
          <w:p w:rsidR="00000000" w:rsidDel="00000000" w:rsidP="00000000" w:rsidRDefault="00000000" w:rsidRPr="00000000" w14:paraId="0000002E">
            <w:pPr>
              <w:rPr>
                <w:rFonts w:ascii="Verdana" w:cs="Verdana" w:eastAsia="Verdana" w:hAnsi="Verdana"/>
                <w:sz w:val="16"/>
                <w:szCs w:val="16"/>
              </w:rPr>
            </w:pPr>
            <w:r w:rsidDel="00000000" w:rsidR="00000000" w:rsidRPr="00000000">
              <w:rPr>
                <w:rtl w:val="0"/>
              </w:rPr>
            </w:r>
          </w:p>
        </w:tc>
        <w:tc>
          <w:tcPr/>
          <w:p w:rsidR="00000000" w:rsidDel="00000000" w:rsidP="00000000" w:rsidRDefault="00000000" w:rsidRPr="00000000" w14:paraId="0000002F">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No Label</w:t>
            </w:r>
          </w:p>
        </w:tc>
        <w:tc>
          <w:tcPr/>
          <w:p w:rsidR="00000000" w:rsidDel="00000000" w:rsidP="00000000" w:rsidRDefault="00000000" w:rsidRPr="00000000" w14:paraId="0000003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Implement high quality instruction, aligned to State adopted standards.  Outcomes will be written in the form of student learning KUD (what students need to know, understand and be able to do).</w:t>
            </w:r>
          </w:p>
          <w:p w:rsidR="00000000" w:rsidDel="00000000" w:rsidP="00000000" w:rsidRDefault="00000000" w:rsidRPr="00000000" w14:paraId="00000031">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Implement high quality collaborative processes through effective professional learning and development.</w:t>
            </w:r>
          </w:p>
          <w:p w:rsidR="00000000" w:rsidDel="00000000" w:rsidP="00000000" w:rsidRDefault="00000000" w:rsidRPr="00000000" w14:paraId="00000033">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Rolland-Warner Campus operates on both a balanced and traditional calendar for students in grades 6-7. </w:t>
            </w:r>
          </w:p>
        </w:tc>
      </w:tr>
      <w:tr>
        <w:trPr>
          <w:cantSplit w:val="0"/>
          <w:tblHeader w:val="0"/>
        </w:trPr>
        <w:tc>
          <w:tcPr/>
          <w:p w:rsidR="00000000" w:rsidDel="00000000" w:rsidP="00000000" w:rsidRDefault="00000000" w:rsidRPr="00000000" w14:paraId="0000003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Lapeer Community High School</w:t>
            </w:r>
          </w:p>
        </w:tc>
        <w:tc>
          <w:tcPr/>
          <w:p w:rsidR="00000000" w:rsidDel="00000000" w:rsidP="00000000" w:rsidRDefault="00000000" w:rsidRPr="00000000" w14:paraId="00000036">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TSI</w:t>
            </w:r>
          </w:p>
        </w:tc>
        <w:tc>
          <w:tcPr/>
          <w:p w:rsidR="00000000" w:rsidDel="00000000" w:rsidP="00000000" w:rsidRDefault="00000000" w:rsidRPr="00000000" w14:paraId="0000003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Implement high quality instruction that is evidenced based and learning centered in every classroom.</w:t>
            </w:r>
          </w:p>
          <w:p w:rsidR="00000000" w:rsidDel="00000000" w:rsidP="00000000" w:rsidRDefault="00000000" w:rsidRPr="00000000" w14:paraId="00000038">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9">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Implement high quality instruction, aligned to State adopted standards.  </w:t>
            </w:r>
          </w:p>
          <w:p w:rsidR="00000000" w:rsidDel="00000000" w:rsidP="00000000" w:rsidRDefault="00000000" w:rsidRPr="00000000" w14:paraId="0000003A">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B">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Implement high quality collaborative processes through effective professional learning and development.</w:t>
            </w:r>
          </w:p>
        </w:tc>
      </w:tr>
    </w:tbl>
    <w:p w:rsidR="00000000" w:rsidDel="00000000" w:rsidP="00000000" w:rsidRDefault="00000000" w:rsidRPr="00000000" w14:paraId="0000003C">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D">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E">
      <w:pPr>
        <w:jc w:val="both"/>
        <w:rPr>
          <w:rFonts w:ascii="Verdana" w:cs="Verdana" w:eastAsia="Verdana" w:hAnsi="Verdana"/>
          <w:sz w:val="22"/>
          <w:szCs w:val="22"/>
        </w:rPr>
      </w:pPr>
      <w:bookmarkStart w:colFirst="0" w:colLast="0" w:name="_gjdgxs" w:id="0"/>
      <w:bookmarkEnd w:id="0"/>
      <w:r w:rsidDel="00000000" w:rsidR="00000000" w:rsidRPr="00000000">
        <w:rPr>
          <w:rFonts w:ascii="Verdana" w:cs="Verdana" w:eastAsia="Verdana" w:hAnsi="Verdana"/>
          <w:sz w:val="22"/>
          <w:szCs w:val="22"/>
          <w:rtl w:val="0"/>
        </w:rPr>
        <w:t xml:space="preserve">The District has invested significantly in academic programs that challenge our students with rigor, including college-level coursework during the school day. We’ve ushered the nation’s leading STEM curriculum into our elementary schools. We’ve systematically dismantled barriers — financial, geographic, demographic, etc. — that have historically limited students from advanced opportunities. Our students have responded in truly incredible numbers. </w:t>
      </w:r>
    </w:p>
    <w:p w:rsidR="00000000" w:rsidDel="00000000" w:rsidP="00000000" w:rsidRDefault="00000000" w:rsidRPr="00000000" w14:paraId="0000003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the past several years, our students’ performance on standardized tests, including M-STEP, have remained in alignment with the State and some areas increased.  District wide goals are supported by the buildings and include the following:</w:t>
      </w:r>
    </w:p>
    <w:p w:rsidR="00000000" w:rsidDel="00000000" w:rsidP="00000000" w:rsidRDefault="00000000" w:rsidRPr="00000000" w14:paraId="00000041">
      <w:pPr>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2">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Goal 1, provide every child access to an aligned, high-quality curriculum from early-childhood to post-secondary attainment.  </w:t>
      </w:r>
    </w:p>
    <w:p w:rsidR="00000000" w:rsidDel="00000000" w:rsidP="00000000" w:rsidRDefault="00000000" w:rsidRPr="00000000" w14:paraId="00000043">
      <w:pPr>
        <w:numPr>
          <w:ilvl w:val="0"/>
          <w:numId w:val="3"/>
        </w:numPr>
        <w:spacing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Goal 2, implement high-quality instruction in every classroom through a highly coherent, learner-centered instructional model where students meet their self-determined academic and personal goals to their highest potential.  </w:t>
      </w:r>
    </w:p>
    <w:p w:rsidR="00000000" w:rsidDel="00000000" w:rsidP="00000000" w:rsidRDefault="00000000" w:rsidRPr="00000000" w14:paraId="00000044">
      <w:pPr>
        <w:numPr>
          <w:ilvl w:val="0"/>
          <w:numId w:val="3"/>
        </w:numPr>
        <w:spacing w:after="200" w:line="276" w:lineRule="auto"/>
        <w:ind w:left="72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Goal 3, develop, support, and sustain high-quality collaborative processes that improve teacher performance and student achievement.</w:t>
      </w:r>
    </w:p>
    <w:p w:rsidR="00000000" w:rsidDel="00000000" w:rsidP="00000000" w:rsidRDefault="00000000" w:rsidRPr="00000000" w14:paraId="00000045">
      <w:pPr>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Lastly, I want to encourage parents to stay actively involved in their students’ education to ensure that academic success is being met.  As a district, we are fully committed to putting students first, embracing innovation and improving every day. </w:t>
      </w:r>
    </w:p>
    <w:p w:rsidR="00000000" w:rsidDel="00000000" w:rsidP="00000000" w:rsidRDefault="00000000" w:rsidRPr="00000000" w14:paraId="0000004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Sincerely,</w:t>
      </w:r>
    </w:p>
    <w:p w:rsidR="00000000" w:rsidDel="00000000" w:rsidP="00000000" w:rsidRDefault="00000000" w:rsidRPr="00000000" w14:paraId="0000004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Matthew T. Wandrie</w:t>
      </w:r>
    </w:p>
    <w:p w:rsidR="00000000" w:rsidDel="00000000" w:rsidP="00000000" w:rsidRDefault="00000000" w:rsidRPr="00000000" w14:paraId="0000004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Superintendent</w:t>
      </w:r>
    </w:p>
    <w:p w:rsidR="00000000" w:rsidDel="00000000" w:rsidP="00000000" w:rsidRDefault="00000000" w:rsidRPr="00000000" w14:paraId="0000004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Lapeer Community Schools</w:t>
      </w:r>
    </w:p>
    <w:p w:rsidR="00000000" w:rsidDel="00000000" w:rsidP="00000000" w:rsidRDefault="00000000" w:rsidRPr="00000000" w14:paraId="0000004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243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-539749</wp:posOffset>
          </wp:positionH>
          <wp:positionV relativeFrom="paragraph">
            <wp:posOffset>-163829</wp:posOffset>
          </wp:positionV>
          <wp:extent cx="7059295" cy="1752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59295" cy="17526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bradford@lapeerschools.org" TargetMode="External"/><Relationship Id="rId7" Type="http://schemas.openxmlformats.org/officeDocument/2006/relationships/hyperlink" Target="https://www.mischooldata.org/annual-education-report-1?Common_Locations=1-D,1302,91,0" TargetMode="Externa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